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DF60A" w14:textId="77777777" w:rsidR="00477516" w:rsidRPr="00B720D5" w:rsidRDefault="00477516" w:rsidP="7AA50080">
      <w:pPr>
        <w:pStyle w:val="Texto"/>
        <w:pBdr>
          <w:top w:val="double" w:sz="4" w:space="1" w:color="auto"/>
        </w:pBdr>
        <w:ind w:left="288" w:firstLine="0"/>
        <w:jc w:val="center"/>
      </w:pPr>
      <w:r w:rsidRPr="7AA50080">
        <w:t>Anexo 1</w:t>
      </w:r>
    </w:p>
    <w:p w14:paraId="4F8F8503" w14:textId="77777777" w:rsidR="00477516" w:rsidRPr="00B720D5" w:rsidRDefault="00477516" w:rsidP="7AA50080">
      <w:pPr>
        <w:pStyle w:val="Texto"/>
        <w:spacing w:line="320" w:lineRule="exact"/>
        <w:ind w:firstLine="0"/>
        <w:jc w:val="center"/>
        <w:rPr>
          <w:b/>
          <w:bCs/>
        </w:rPr>
      </w:pPr>
      <w:r w:rsidRPr="7AA50080">
        <w:rPr>
          <w:b/>
          <w:bCs/>
        </w:rPr>
        <w:t>ESPECIFICACIONES TÉCNICAS, ECONÓMICAS Y DE ENTREGA DEL PRODUCTO O SERVICIO</w:t>
      </w:r>
    </w:p>
    <w:p w14:paraId="5275395D" w14:textId="31D375DF" w:rsidR="00477516" w:rsidRPr="00B720D5" w:rsidRDefault="00477516" w:rsidP="00F8158E">
      <w:pPr>
        <w:pStyle w:val="Texto"/>
        <w:spacing w:line="320" w:lineRule="exact"/>
        <w:rPr>
          <w:b/>
          <w:bCs/>
        </w:rPr>
      </w:pPr>
      <w:r w:rsidRPr="7AA50080">
        <w:rPr>
          <w:b/>
          <w:bCs/>
        </w:rPr>
        <w:t xml:space="preserve">                                   Descripción del </w:t>
      </w:r>
      <w:r w:rsidR="00F8158E">
        <w:rPr>
          <w:b/>
          <w:bCs/>
        </w:rPr>
        <w:t>servicio: SERVICIO DE APLICACIÓN AEREA.</w:t>
      </w:r>
      <w:r w:rsidR="582F68E5" w:rsidRPr="7AA50080">
        <w:rPr>
          <w:b/>
          <w:bCs/>
        </w:rPr>
        <w:t xml:space="preserve"> </w:t>
      </w:r>
    </w:p>
    <w:p w14:paraId="67D3BC75" w14:textId="77777777" w:rsidR="00477516" w:rsidRPr="00B720D5" w:rsidRDefault="00477516" w:rsidP="00477516">
      <w:pPr>
        <w:pStyle w:val="Texto"/>
        <w:spacing w:line="320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(Cerrado)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1607"/>
        <w:gridCol w:w="1167"/>
        <w:gridCol w:w="1621"/>
        <w:gridCol w:w="1621"/>
      </w:tblGrid>
      <w:tr w:rsidR="00F8158E" w:rsidRPr="00B720D5" w14:paraId="611867EB" w14:textId="77777777" w:rsidTr="00F8158E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86810" w14:textId="77777777" w:rsidR="00F8158E" w:rsidRPr="00B720D5" w:rsidRDefault="00F8158E" w:rsidP="00F878E1">
            <w:pPr>
              <w:pStyle w:val="Texto"/>
              <w:spacing w:line="320" w:lineRule="exact"/>
              <w:ind w:firstLine="0"/>
              <w:jc w:val="center"/>
              <w:rPr>
                <w:b/>
                <w:szCs w:val="24"/>
                <w:lang w:val="es-MX"/>
              </w:rPr>
            </w:pPr>
            <w:r w:rsidRPr="00B720D5">
              <w:rPr>
                <w:b/>
                <w:szCs w:val="24"/>
                <w:lang w:val="es-MX"/>
              </w:rPr>
              <w:t>Partida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EC1D4" w14:textId="77777777" w:rsidR="00F8158E" w:rsidRPr="00B720D5" w:rsidRDefault="00F8158E" w:rsidP="7AA50080">
            <w:pPr>
              <w:pStyle w:val="Texto"/>
              <w:spacing w:line="320" w:lineRule="exact"/>
              <w:ind w:firstLine="0"/>
              <w:jc w:val="center"/>
              <w:rPr>
                <w:b/>
                <w:bCs/>
                <w:lang w:val="es-MX"/>
              </w:rPr>
            </w:pPr>
            <w:r w:rsidRPr="7AA50080">
              <w:rPr>
                <w:b/>
                <w:bCs/>
                <w:lang w:val="es-MX"/>
              </w:rPr>
              <w:t>Concepto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48429" w14:textId="77777777" w:rsidR="00F8158E" w:rsidRPr="00B720D5" w:rsidRDefault="00F8158E" w:rsidP="00F878E1">
            <w:pPr>
              <w:pStyle w:val="Texto"/>
              <w:spacing w:line="320" w:lineRule="exact"/>
              <w:ind w:firstLine="0"/>
              <w:jc w:val="center"/>
              <w:rPr>
                <w:b/>
                <w:szCs w:val="24"/>
                <w:lang w:val="es-MX"/>
              </w:rPr>
            </w:pPr>
            <w:r w:rsidRPr="00B720D5">
              <w:rPr>
                <w:b/>
                <w:szCs w:val="24"/>
                <w:lang w:val="es-MX"/>
              </w:rPr>
              <w:t>Especificaciones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75996" w14:textId="77777777" w:rsidR="00F8158E" w:rsidRPr="00B720D5" w:rsidRDefault="00F8158E" w:rsidP="00F878E1">
            <w:pPr>
              <w:pStyle w:val="Texto"/>
              <w:spacing w:line="320" w:lineRule="exact"/>
              <w:ind w:firstLine="0"/>
              <w:jc w:val="center"/>
              <w:rPr>
                <w:b/>
                <w:szCs w:val="24"/>
                <w:lang w:val="es-MX"/>
              </w:rPr>
            </w:pPr>
            <w:r w:rsidRPr="00B720D5">
              <w:rPr>
                <w:b/>
                <w:szCs w:val="24"/>
                <w:lang w:val="es-MX"/>
              </w:rPr>
              <w:t>Cantidad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5D71E" w14:textId="644CB038" w:rsidR="00F8158E" w:rsidRPr="00B720D5" w:rsidRDefault="00F8158E" w:rsidP="00F878E1">
            <w:pPr>
              <w:pStyle w:val="Texto"/>
              <w:spacing w:line="320" w:lineRule="exact"/>
              <w:ind w:firstLine="0"/>
              <w:jc w:val="center"/>
              <w:rPr>
                <w:b/>
                <w:szCs w:val="24"/>
                <w:lang w:val="es-MX"/>
              </w:rPr>
            </w:pPr>
            <w:r>
              <w:rPr>
                <w:b/>
                <w:szCs w:val="24"/>
                <w:lang w:val="es-MX"/>
              </w:rPr>
              <w:t>Unidad de Medida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AA3AE" w14:textId="4A2762CB" w:rsidR="00F8158E" w:rsidRPr="00B720D5" w:rsidRDefault="00F8158E" w:rsidP="00F878E1">
            <w:pPr>
              <w:pStyle w:val="Texto"/>
              <w:spacing w:line="320" w:lineRule="exact"/>
              <w:ind w:firstLine="0"/>
              <w:jc w:val="center"/>
              <w:rPr>
                <w:b/>
                <w:szCs w:val="24"/>
                <w:lang w:val="es-MX"/>
              </w:rPr>
            </w:pPr>
            <w:r w:rsidRPr="00B720D5">
              <w:rPr>
                <w:b/>
                <w:szCs w:val="24"/>
                <w:lang w:val="es-MX"/>
              </w:rPr>
              <w:t>Proyecto</w:t>
            </w:r>
          </w:p>
        </w:tc>
      </w:tr>
      <w:tr w:rsidR="00F8158E" w:rsidRPr="00B720D5" w14:paraId="1E6B1AE4" w14:textId="77777777" w:rsidTr="00F8158E">
        <w:trPr>
          <w:trHeight w:val="145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41BE" w14:textId="77777777" w:rsidR="00F8158E" w:rsidRPr="00B720D5" w:rsidRDefault="00F8158E" w:rsidP="00F878E1">
            <w:pPr>
              <w:pStyle w:val="Texto"/>
              <w:spacing w:line="320" w:lineRule="exact"/>
              <w:ind w:firstLine="0"/>
              <w:jc w:val="center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6659" w14:textId="3F167EB7" w:rsidR="00F8158E" w:rsidRPr="001C0328" w:rsidRDefault="00F8158E" w:rsidP="00F878E1">
            <w:pPr>
              <w:pStyle w:val="Texto"/>
              <w:spacing w:line="320" w:lineRule="exact"/>
              <w:ind w:firstLine="0"/>
              <w:jc w:val="center"/>
            </w:pPr>
            <w:r>
              <w:t xml:space="preserve">SERVICIO DE APLICACIÓN AEREA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B6C7B" w14:textId="29C69DEF" w:rsidR="00F8158E" w:rsidRPr="00F8158E" w:rsidRDefault="00FB0128" w:rsidP="00F8158E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SERVICIO DE </w:t>
            </w:r>
            <w:r w:rsidR="00F8158E">
              <w:rPr>
                <w:rFonts w:ascii="Arial" w:hAnsi="Arial" w:cs="Arial"/>
                <w:sz w:val="18"/>
                <w:szCs w:val="18"/>
                <w:lang w:val="es-MX"/>
              </w:rPr>
              <w:t xml:space="preserve">APLICACIÓN DE </w:t>
            </w:r>
            <w:proofErr w:type="spellStart"/>
            <w:r w:rsidR="00F8158E" w:rsidRPr="00F8158E">
              <w:rPr>
                <w:rFonts w:ascii="Arial" w:hAnsi="Arial" w:cs="Arial"/>
                <w:i/>
                <w:sz w:val="18"/>
                <w:szCs w:val="18"/>
                <w:lang w:val="es-MX"/>
              </w:rPr>
              <w:t>Metarhizium</w:t>
            </w:r>
            <w:proofErr w:type="spellEnd"/>
            <w:r w:rsidR="00F8158E" w:rsidRPr="00F8158E">
              <w:rPr>
                <w:rFonts w:ascii="Arial" w:hAnsi="Arial" w:cs="Arial"/>
                <w:i/>
                <w:sz w:val="18"/>
                <w:szCs w:val="18"/>
                <w:lang w:val="es-MX"/>
              </w:rPr>
              <w:t xml:space="preserve"> </w:t>
            </w:r>
            <w:proofErr w:type="spellStart"/>
            <w:r w:rsidR="00F8158E" w:rsidRPr="00F8158E">
              <w:rPr>
                <w:rFonts w:ascii="Arial" w:hAnsi="Arial" w:cs="Arial"/>
                <w:i/>
                <w:sz w:val="18"/>
                <w:szCs w:val="18"/>
                <w:lang w:val="es-MX"/>
              </w:rPr>
              <w:t>acridum</w:t>
            </w:r>
            <w:proofErr w:type="spellEnd"/>
            <w:r w:rsidR="00F8158E">
              <w:rPr>
                <w:rFonts w:ascii="Arial" w:hAnsi="Arial" w:cs="Arial"/>
                <w:sz w:val="18"/>
                <w:szCs w:val="18"/>
                <w:lang w:val="es-MX"/>
              </w:rPr>
              <w:t xml:space="preserve"> EN ZONAS DE MERGENCIA (PASTIZALES)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F396" w14:textId="13534B88" w:rsidR="00F8158E" w:rsidRPr="00B720D5" w:rsidRDefault="00F8158E" w:rsidP="7AA50080">
            <w:pPr>
              <w:pStyle w:val="Texto"/>
              <w:spacing w:line="320" w:lineRule="exact"/>
              <w:ind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450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81A01" w14:textId="4E9170E7" w:rsidR="00F8158E" w:rsidRDefault="00F8158E" w:rsidP="00F878E1">
            <w:pPr>
              <w:pStyle w:val="Texto"/>
              <w:spacing w:line="320" w:lineRule="exact"/>
              <w:ind w:firstLine="0"/>
              <w:jc w:val="center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 xml:space="preserve">Hectárea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D8C73" w14:textId="3EF6AF5D" w:rsidR="00F8158E" w:rsidRPr="00B720D5" w:rsidRDefault="00F8158E" w:rsidP="00F878E1">
            <w:pPr>
              <w:pStyle w:val="Texto"/>
              <w:spacing w:line="320" w:lineRule="exact"/>
              <w:ind w:firstLine="0"/>
              <w:jc w:val="center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MANEJO FITOSANITARIO DE CULTIVOS B</w:t>
            </w:r>
            <w:r w:rsidR="00017E9B">
              <w:rPr>
                <w:szCs w:val="24"/>
                <w:lang w:val="es-MX"/>
              </w:rPr>
              <w:t>Á</w:t>
            </w:r>
            <w:r>
              <w:rPr>
                <w:szCs w:val="24"/>
                <w:lang w:val="es-MX"/>
              </w:rPr>
              <w:t>SICOS</w:t>
            </w:r>
          </w:p>
        </w:tc>
      </w:tr>
    </w:tbl>
    <w:p w14:paraId="72A3D3EC" w14:textId="77777777" w:rsidR="00477516" w:rsidRPr="00B720D5" w:rsidRDefault="00477516" w:rsidP="00477516">
      <w:pPr>
        <w:pStyle w:val="Texto"/>
        <w:spacing w:line="320" w:lineRule="exact"/>
        <w:rPr>
          <w:szCs w:val="24"/>
        </w:rPr>
      </w:pPr>
    </w:p>
    <w:p w14:paraId="31FBED46" w14:textId="680BAFEE" w:rsidR="00477516" w:rsidRPr="00B720D5" w:rsidRDefault="00477516" w:rsidP="00FB0128">
      <w:pPr>
        <w:pStyle w:val="Texto"/>
        <w:numPr>
          <w:ilvl w:val="0"/>
          <w:numId w:val="2"/>
        </w:numPr>
        <w:spacing w:after="0" w:line="240" w:lineRule="exact"/>
      </w:pPr>
      <w:r w:rsidRPr="7AA50080">
        <w:rPr>
          <w:b/>
          <w:bCs/>
        </w:rPr>
        <w:t xml:space="preserve">Fecha de entrega: para las partidas </w:t>
      </w:r>
      <w:r w:rsidR="00FB0128">
        <w:rPr>
          <w:b/>
          <w:bCs/>
        </w:rPr>
        <w:t>N</w:t>
      </w:r>
      <w:bookmarkStart w:id="0" w:name="_GoBack"/>
      <w:bookmarkEnd w:id="0"/>
      <w:r w:rsidRPr="7AA50080">
        <w:rPr>
          <w:b/>
          <w:bCs/>
        </w:rPr>
        <w:t>o. 1:</w:t>
      </w:r>
      <w:r>
        <w:t xml:space="preserve"> el </w:t>
      </w:r>
      <w:r w:rsidR="315578CE">
        <w:t>30</w:t>
      </w:r>
      <w:r>
        <w:t xml:space="preserve"> de ju</w:t>
      </w:r>
      <w:r w:rsidR="00D31890">
        <w:t>l</w:t>
      </w:r>
      <w:r>
        <w:t>io de 2024, en horario de 8:30 a 16:30 horas.</w:t>
      </w:r>
    </w:p>
    <w:p w14:paraId="4BE068B7" w14:textId="3BCECCF5" w:rsidR="00477516" w:rsidRPr="00477516" w:rsidRDefault="00477516" w:rsidP="00FB0128">
      <w:pPr>
        <w:pStyle w:val="Texto"/>
        <w:numPr>
          <w:ilvl w:val="0"/>
          <w:numId w:val="2"/>
        </w:numPr>
        <w:spacing w:after="0" w:line="240" w:lineRule="exact"/>
        <w:rPr>
          <w:noProof/>
          <w:szCs w:val="24"/>
        </w:rPr>
      </w:pPr>
      <w:r w:rsidRPr="00477516">
        <w:rPr>
          <w:b/>
          <w:szCs w:val="24"/>
        </w:rPr>
        <w:t>Lugar</w:t>
      </w:r>
      <w:r w:rsidRPr="00477516">
        <w:rPr>
          <w:b/>
          <w:i/>
          <w:szCs w:val="24"/>
        </w:rPr>
        <w:t xml:space="preserve"> de </w:t>
      </w:r>
      <w:r w:rsidR="00F8158E">
        <w:rPr>
          <w:b/>
          <w:i/>
          <w:szCs w:val="24"/>
        </w:rPr>
        <w:t>servicio;</w:t>
      </w:r>
      <w:r w:rsidRPr="00477516">
        <w:rPr>
          <w:szCs w:val="24"/>
        </w:rPr>
        <w:t xml:space="preserve"> </w:t>
      </w:r>
      <w:r w:rsidR="00F8158E">
        <w:rPr>
          <w:szCs w:val="24"/>
        </w:rPr>
        <w:t xml:space="preserve">La aplicación se realizará en zonas de emergencia (pastizales) a una altura de 4 metros sobre la vegetación más alta, la cual podría realizar dependiendo de la presencia de la plaga </w:t>
      </w:r>
      <w:proofErr w:type="spellStart"/>
      <w:r w:rsidR="00F8158E" w:rsidRPr="00F8158E">
        <w:rPr>
          <w:i/>
          <w:szCs w:val="24"/>
        </w:rPr>
        <w:t>Brachystola</w:t>
      </w:r>
      <w:proofErr w:type="spellEnd"/>
      <w:r w:rsidR="00F8158E" w:rsidRPr="00F8158E">
        <w:rPr>
          <w:i/>
          <w:szCs w:val="24"/>
        </w:rPr>
        <w:t xml:space="preserve"> magna</w:t>
      </w:r>
      <w:r w:rsidR="00EF5229">
        <w:rPr>
          <w:szCs w:val="24"/>
        </w:rPr>
        <w:t xml:space="preserve"> en cualquiera de estos municipios: Cuauhtémoc, </w:t>
      </w:r>
      <w:proofErr w:type="spellStart"/>
      <w:r w:rsidR="00EF5229">
        <w:rPr>
          <w:szCs w:val="24"/>
        </w:rPr>
        <w:t>Cusihuiriachi</w:t>
      </w:r>
      <w:proofErr w:type="spellEnd"/>
      <w:r w:rsidR="00EF5229">
        <w:rPr>
          <w:szCs w:val="24"/>
        </w:rPr>
        <w:t xml:space="preserve">, </w:t>
      </w:r>
      <w:proofErr w:type="spellStart"/>
      <w:r w:rsidR="00EF5229">
        <w:rPr>
          <w:szCs w:val="24"/>
        </w:rPr>
        <w:t>Carichi</w:t>
      </w:r>
      <w:proofErr w:type="spellEnd"/>
      <w:r w:rsidR="00EF5229">
        <w:rPr>
          <w:szCs w:val="24"/>
        </w:rPr>
        <w:t xml:space="preserve">, Guerrero, Gran Morelos, Belisario Domínguez, Namiquipa, </w:t>
      </w:r>
      <w:proofErr w:type="spellStart"/>
      <w:r w:rsidR="00EF5229">
        <w:rPr>
          <w:szCs w:val="24"/>
        </w:rPr>
        <w:t>Bachiniva</w:t>
      </w:r>
      <w:proofErr w:type="spellEnd"/>
      <w:r w:rsidR="00EF5229">
        <w:rPr>
          <w:szCs w:val="24"/>
        </w:rPr>
        <w:t xml:space="preserve">, Riva Palacio y Santa Isabel. </w:t>
      </w:r>
    </w:p>
    <w:p w14:paraId="4FB225DC" w14:textId="0799B22B" w:rsidR="00477516" w:rsidRDefault="00477516" w:rsidP="00FB0128">
      <w:pPr>
        <w:pStyle w:val="Texto"/>
        <w:spacing w:after="0" w:line="240" w:lineRule="exact"/>
        <w:ind w:left="1008" w:firstLine="0"/>
        <w:rPr>
          <w:noProof/>
          <w:szCs w:val="24"/>
        </w:rPr>
      </w:pPr>
      <w:r w:rsidRPr="00B720D5">
        <w:rPr>
          <w:noProof/>
          <w:szCs w:val="24"/>
        </w:rPr>
        <w:t>Nota: Las Instancias Ejecutoras podrán celebrar contratos abiertos para las adquisiciones, arrendamientos de bienes y prestación de servicios</w:t>
      </w:r>
      <w:r w:rsidRPr="00B720D5" w:rsidDel="00CB27B6">
        <w:rPr>
          <w:noProof/>
          <w:szCs w:val="24"/>
        </w:rPr>
        <w:t xml:space="preserve"> </w:t>
      </w:r>
      <w:r w:rsidRPr="00B720D5">
        <w:rPr>
          <w:noProof/>
          <w:szCs w:val="24"/>
        </w:rPr>
        <w:t>que requieran de manera reiterada, estableciendo la cantidad mínima y máxima de los bienes, arrendamientos o servicios a contratar; o bien, el presupuesto mínimo y máximo que podrá ejercerse. La cantidad o presupuesto mínimo no podrá ser inferior al cuarenta por ciento de la cantidad o presupuesto máximo.</w:t>
      </w:r>
    </w:p>
    <w:p w14:paraId="0F37075E" w14:textId="77777777" w:rsidR="00477516" w:rsidRPr="00B720D5" w:rsidRDefault="00477516" w:rsidP="00FB0128">
      <w:pPr>
        <w:pStyle w:val="Texto"/>
        <w:numPr>
          <w:ilvl w:val="0"/>
          <w:numId w:val="2"/>
        </w:numPr>
        <w:spacing w:after="0" w:line="240" w:lineRule="exact"/>
        <w:rPr>
          <w:b/>
          <w:bCs/>
        </w:rPr>
      </w:pPr>
      <w:r w:rsidRPr="7AA50080">
        <w:rPr>
          <w:b/>
          <w:bCs/>
        </w:rPr>
        <w:t>Condiciones de pago:</w:t>
      </w:r>
    </w:p>
    <w:p w14:paraId="1780EA4B" w14:textId="4F2A9D26" w:rsidR="255980CD" w:rsidRDefault="255980CD" w:rsidP="00FB0128">
      <w:pPr>
        <w:pStyle w:val="Texto"/>
        <w:spacing w:after="0" w:line="240" w:lineRule="exact"/>
        <w:ind w:left="1368" w:firstLine="0"/>
        <w:rPr>
          <w:b/>
          <w:bCs/>
        </w:rPr>
      </w:pPr>
      <w:r w:rsidRPr="7AA50080">
        <w:rPr>
          <w:b/>
          <w:bCs/>
        </w:rPr>
        <w:t xml:space="preserve">Por la naturaleza del </w:t>
      </w:r>
      <w:r w:rsidR="1D0A55F3" w:rsidRPr="7AA50080">
        <w:rPr>
          <w:b/>
          <w:bCs/>
        </w:rPr>
        <w:t>bien, y</w:t>
      </w:r>
      <w:r w:rsidRPr="7AA50080">
        <w:rPr>
          <w:b/>
          <w:bCs/>
        </w:rPr>
        <w:t xml:space="preserve"> a fin de asegurar la correcta entrega de estos, el responsable designado por el Comité Estatal de Sanidad Vegetal de Chihuahua, el</w:t>
      </w:r>
      <w:r w:rsidR="189A4054" w:rsidRPr="7AA50080">
        <w:rPr>
          <w:b/>
          <w:bCs/>
        </w:rPr>
        <w:t xml:space="preserve"> </w:t>
      </w:r>
      <w:r w:rsidR="00EF5229">
        <w:rPr>
          <w:b/>
          <w:bCs/>
        </w:rPr>
        <w:t>Ing. Paul Eliu Chávez Flores</w:t>
      </w:r>
      <w:r w:rsidR="12F02CAD" w:rsidRPr="7AA50080">
        <w:rPr>
          <w:b/>
          <w:bCs/>
        </w:rPr>
        <w:t xml:space="preserve"> (</w:t>
      </w:r>
      <w:r w:rsidR="00EF5229">
        <w:rPr>
          <w:b/>
          <w:bCs/>
        </w:rPr>
        <w:t xml:space="preserve">Coordinador de campaña) </w:t>
      </w:r>
      <w:r w:rsidR="189A4054" w:rsidRPr="7AA50080">
        <w:rPr>
          <w:b/>
          <w:bCs/>
        </w:rPr>
        <w:t xml:space="preserve">para la </w:t>
      </w:r>
      <w:r w:rsidR="729CAA52" w:rsidRPr="7AA50080">
        <w:rPr>
          <w:b/>
          <w:bCs/>
        </w:rPr>
        <w:t>supervisión</w:t>
      </w:r>
      <w:r w:rsidR="189A4054" w:rsidRPr="7AA50080">
        <w:rPr>
          <w:b/>
          <w:bCs/>
        </w:rPr>
        <w:t xml:space="preserve"> del cumplimiento del contrato verificará </w:t>
      </w:r>
      <w:r w:rsidR="580600FF" w:rsidRPr="7AA50080">
        <w:rPr>
          <w:b/>
          <w:bCs/>
        </w:rPr>
        <w:t xml:space="preserve">juntamente con el responsable del proveedor, la procedencia de los </w:t>
      </w:r>
      <w:r w:rsidR="00EF5229">
        <w:rPr>
          <w:b/>
          <w:bCs/>
        </w:rPr>
        <w:t>servicios</w:t>
      </w:r>
      <w:r w:rsidR="580600FF" w:rsidRPr="7AA50080">
        <w:rPr>
          <w:b/>
          <w:bCs/>
        </w:rPr>
        <w:t xml:space="preserve"> y que cumpla con las especificaciones requeridas.</w:t>
      </w:r>
    </w:p>
    <w:p w14:paraId="57FDF4D9" w14:textId="0A77C478" w:rsidR="647B6CDC" w:rsidRDefault="647B6CDC" w:rsidP="00FB0128">
      <w:pPr>
        <w:pStyle w:val="Texto"/>
        <w:spacing w:after="0" w:line="240" w:lineRule="exact"/>
        <w:ind w:left="1368" w:firstLine="0"/>
        <w:rPr>
          <w:b/>
          <w:bCs/>
        </w:rPr>
      </w:pPr>
      <w:r w:rsidRPr="7AA50080">
        <w:rPr>
          <w:b/>
          <w:bCs/>
        </w:rPr>
        <w:t>El Proveedor adjudicado deberá de proporcionar al personal del Comité una nota de entrega-</w:t>
      </w:r>
      <w:r w:rsidR="2FEDA537" w:rsidRPr="7AA50080">
        <w:rPr>
          <w:b/>
          <w:bCs/>
        </w:rPr>
        <w:t>recepción de</w:t>
      </w:r>
      <w:r w:rsidR="00EF5229">
        <w:rPr>
          <w:b/>
          <w:bCs/>
        </w:rPr>
        <w:t>l servicio</w:t>
      </w:r>
      <w:r w:rsidR="2FEDA537" w:rsidRPr="7AA50080">
        <w:rPr>
          <w:b/>
          <w:bCs/>
        </w:rPr>
        <w:t>, la cual deberá de ser firmado y sellado por el encargado del almacén en dos tantos, una para el proveedor y otra para el Comité de esta forma se justificará la entrega.</w:t>
      </w:r>
    </w:p>
    <w:p w14:paraId="33ECEA61" w14:textId="7DE4E67B" w:rsidR="63B9AC68" w:rsidRDefault="63B9AC68" w:rsidP="00FB0128">
      <w:pPr>
        <w:pStyle w:val="Texto"/>
        <w:spacing w:after="0" w:line="240" w:lineRule="exact"/>
        <w:ind w:left="1368" w:firstLine="0"/>
        <w:rPr>
          <w:b/>
          <w:bCs/>
        </w:rPr>
      </w:pPr>
      <w:r w:rsidRPr="7AA50080">
        <w:rPr>
          <w:b/>
          <w:bCs/>
        </w:rPr>
        <w:t xml:space="preserve">El </w:t>
      </w:r>
      <w:r w:rsidR="00EF5229">
        <w:rPr>
          <w:b/>
          <w:bCs/>
        </w:rPr>
        <w:t>Ing. Paul Eliu Chávez Flores</w:t>
      </w:r>
      <w:r w:rsidRPr="7AA50080">
        <w:rPr>
          <w:b/>
          <w:bCs/>
        </w:rPr>
        <w:t xml:space="preserve"> quien fungirá como responsable de la recepción y </w:t>
      </w:r>
      <w:r w:rsidR="591837CB" w:rsidRPr="7AA50080">
        <w:rPr>
          <w:b/>
          <w:bCs/>
        </w:rPr>
        <w:t>será el encargado de verificar que las adquisiciones se cumplan con las especificaciones solicitadas que deriven del presente “</w:t>
      </w:r>
      <w:r w:rsidR="33B596D1" w:rsidRPr="7AA50080">
        <w:rPr>
          <w:b/>
          <w:bCs/>
        </w:rPr>
        <w:t>ANEXO TECNICO”.</w:t>
      </w:r>
    </w:p>
    <w:p w14:paraId="1B05885B" w14:textId="77777777" w:rsidR="00477516" w:rsidRPr="00B720D5" w:rsidRDefault="00477516" w:rsidP="00FB0128">
      <w:pPr>
        <w:pStyle w:val="Texto"/>
        <w:numPr>
          <w:ilvl w:val="0"/>
          <w:numId w:val="3"/>
        </w:numPr>
        <w:spacing w:after="0" w:line="240" w:lineRule="exact"/>
        <w:ind w:left="1368"/>
        <w:rPr>
          <w:szCs w:val="24"/>
        </w:rPr>
      </w:pPr>
      <w:r w:rsidRPr="00B720D5">
        <w:rPr>
          <w:b/>
          <w:szCs w:val="24"/>
        </w:rPr>
        <w:t>Para las partidas referentes a servicios</w:t>
      </w:r>
      <w:r w:rsidRPr="00B720D5">
        <w:rPr>
          <w:szCs w:val="24"/>
        </w:rPr>
        <w:t xml:space="preserve"> se podrá otorgar anticipo de hasta el 50% a la firma del contrato y el resto al término del servicio.</w:t>
      </w:r>
    </w:p>
    <w:p w14:paraId="2472D1B3" w14:textId="77777777" w:rsidR="00477516" w:rsidRPr="00B720D5" w:rsidRDefault="00477516" w:rsidP="00FB0128">
      <w:pPr>
        <w:pStyle w:val="Texto"/>
        <w:numPr>
          <w:ilvl w:val="0"/>
          <w:numId w:val="3"/>
        </w:numPr>
        <w:spacing w:after="0" w:line="240" w:lineRule="exact"/>
        <w:ind w:left="1368"/>
        <w:rPr>
          <w:szCs w:val="24"/>
        </w:rPr>
      </w:pPr>
      <w:r w:rsidRPr="00B720D5">
        <w:rPr>
          <w:b/>
          <w:szCs w:val="24"/>
        </w:rPr>
        <w:t xml:space="preserve">Tipo de moneda: </w:t>
      </w:r>
      <w:r w:rsidRPr="00B720D5">
        <w:rPr>
          <w:szCs w:val="24"/>
        </w:rPr>
        <w:t>pesos mexicanos M.N.</w:t>
      </w:r>
    </w:p>
    <w:p w14:paraId="7B127135" w14:textId="77777777" w:rsidR="00477516" w:rsidRDefault="00477516" w:rsidP="00FB0128">
      <w:pPr>
        <w:pStyle w:val="Texto"/>
        <w:numPr>
          <w:ilvl w:val="0"/>
          <w:numId w:val="3"/>
        </w:numPr>
        <w:spacing w:after="0" w:line="240" w:lineRule="exact"/>
        <w:ind w:left="1368"/>
        <w:rPr>
          <w:szCs w:val="24"/>
        </w:rPr>
      </w:pPr>
      <w:r w:rsidRPr="00B720D5">
        <w:rPr>
          <w:b/>
          <w:szCs w:val="24"/>
        </w:rPr>
        <w:t xml:space="preserve">Forma de pago: </w:t>
      </w:r>
      <w:r w:rsidRPr="00B720D5">
        <w:rPr>
          <w:szCs w:val="24"/>
        </w:rPr>
        <w:t>cheque nominativo o transferencia bancaria electrónica.</w:t>
      </w:r>
    </w:p>
    <w:p w14:paraId="0D0B940D" w14:textId="77777777" w:rsidR="00CC7E47" w:rsidRDefault="00CC7E47" w:rsidP="00FB0128">
      <w:pPr>
        <w:spacing w:line="240" w:lineRule="exact"/>
      </w:pPr>
    </w:p>
    <w:sectPr w:rsidR="00CC7E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104096F" w16cex:dateUtc="2024-07-03T18:33:48.118Z"/>
  <w16cex:commentExtensible w16cex:durableId="76E6CE6E" w16cex:dateUtc="2024-07-03T18:34:16.475Z"/>
  <w16cex:commentExtensible w16cex:durableId="1B62B608" w16cex:dateUtc="2024-07-04T17:41:08.762Z"/>
  <w16cex:commentExtensible w16cex:durableId="781B0DF3" w16cex:dateUtc="2024-07-04T23:18:58.064Z"/>
  <w16cex:commentExtensible w16cex:durableId="25C52188" w16cex:dateUtc="2024-07-04T23:19:33.972Z"/>
  <w16cex:commentExtensible w16cex:durableId="61D8B720" w16cex:dateUtc="2024-07-04T23:19:57.539Z"/>
  <w16cex:commentExtensible w16cex:durableId="0739C68E" w16cex:dateUtc="2024-07-05T22:43:49.916Z"/>
  <w16cex:commentExtensible w16cex:durableId="7306AFF9" w16cex:dateUtc="2024-07-05T22:52:20.057Z"/>
  <w16cex:commentExtensible w16cex:durableId="7472D87F" w16cex:dateUtc="2024-07-05T22:54:22.399Z"/>
  <w16cex:commentExtensible w16cex:durableId="36CEAF50" w16cex:dateUtc="2024-07-05T23:00:37.541Z"/>
  <w16cex:commentExtensible w16cex:durableId="3E2BAE19" w16cex:dateUtc="2024-07-05T23:03:11.426Z"/>
  <w16cex:commentExtensible w16cex:durableId="17030676" w16cex:dateUtc="2024-07-05T23:06:52.795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9BF74"/>
    <w:multiLevelType w:val="hybridMultilevel"/>
    <w:tmpl w:val="A4B43B56"/>
    <w:lvl w:ilvl="0" w:tplc="CCEC307C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5C48BB16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C8CE1AAE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F532390E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2A763EE4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2DC8DFB0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25AECD3E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3880EB86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3964FEC6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" w15:restartNumberingAfterBreak="0">
    <w:nsid w:val="610A13B0"/>
    <w:multiLevelType w:val="hybridMultilevel"/>
    <w:tmpl w:val="05BEAF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7C2A364D"/>
    <w:multiLevelType w:val="hybridMultilevel"/>
    <w:tmpl w:val="DDF4930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16"/>
    <w:rsid w:val="00017E9B"/>
    <w:rsid w:val="001C0328"/>
    <w:rsid w:val="00477516"/>
    <w:rsid w:val="007D308D"/>
    <w:rsid w:val="00801159"/>
    <w:rsid w:val="008769DA"/>
    <w:rsid w:val="009229E8"/>
    <w:rsid w:val="00CC7E47"/>
    <w:rsid w:val="00D31890"/>
    <w:rsid w:val="00EF5229"/>
    <w:rsid w:val="00F8158E"/>
    <w:rsid w:val="00FB0128"/>
    <w:rsid w:val="03F2E3D6"/>
    <w:rsid w:val="048F1A09"/>
    <w:rsid w:val="052DD31D"/>
    <w:rsid w:val="0793F20B"/>
    <w:rsid w:val="07D047C9"/>
    <w:rsid w:val="08444AF2"/>
    <w:rsid w:val="0B130948"/>
    <w:rsid w:val="0F131EE0"/>
    <w:rsid w:val="12317431"/>
    <w:rsid w:val="12F02CAD"/>
    <w:rsid w:val="15A66F35"/>
    <w:rsid w:val="189A4054"/>
    <w:rsid w:val="18B00D27"/>
    <w:rsid w:val="192677D8"/>
    <w:rsid w:val="1BF1AB70"/>
    <w:rsid w:val="1D0A55F3"/>
    <w:rsid w:val="1E5A8F4B"/>
    <w:rsid w:val="25075BF1"/>
    <w:rsid w:val="255980CD"/>
    <w:rsid w:val="2717CAA9"/>
    <w:rsid w:val="2BF12620"/>
    <w:rsid w:val="2C5DD0EF"/>
    <w:rsid w:val="2E990AF0"/>
    <w:rsid w:val="2FEDA537"/>
    <w:rsid w:val="314E8065"/>
    <w:rsid w:val="315578CE"/>
    <w:rsid w:val="32CA5DE0"/>
    <w:rsid w:val="33B596D1"/>
    <w:rsid w:val="38B990D4"/>
    <w:rsid w:val="3D4D2ABF"/>
    <w:rsid w:val="3ECE0427"/>
    <w:rsid w:val="42BDF5AA"/>
    <w:rsid w:val="4562780B"/>
    <w:rsid w:val="559D5CF5"/>
    <w:rsid w:val="56ADBB87"/>
    <w:rsid w:val="580600FF"/>
    <w:rsid w:val="582F68E5"/>
    <w:rsid w:val="58D27866"/>
    <w:rsid w:val="591837CB"/>
    <w:rsid w:val="5DAF62B7"/>
    <w:rsid w:val="60A7692D"/>
    <w:rsid w:val="610AC4D0"/>
    <w:rsid w:val="63B9AC68"/>
    <w:rsid w:val="64460A56"/>
    <w:rsid w:val="647B6CDC"/>
    <w:rsid w:val="654EE93C"/>
    <w:rsid w:val="66581E66"/>
    <w:rsid w:val="6760879A"/>
    <w:rsid w:val="68812DCE"/>
    <w:rsid w:val="6BA85D0F"/>
    <w:rsid w:val="6BF12DB9"/>
    <w:rsid w:val="729CAA52"/>
    <w:rsid w:val="754AA763"/>
    <w:rsid w:val="75EA7E4B"/>
    <w:rsid w:val="78646DB5"/>
    <w:rsid w:val="7AA5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9F813"/>
  <w15:chartTrackingRefBased/>
  <w15:docId w15:val="{1FC95535-7F82-4373-AF6C-C4F7EDDC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47751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477516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29E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9E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160da453a43f45cf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CESAVECH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Suárez</dc:creator>
  <cp:keywords/>
  <dc:description/>
  <cp:lastModifiedBy>Laura Berenice Alarcon Morales</cp:lastModifiedBy>
  <cp:revision>4</cp:revision>
  <dcterms:created xsi:type="dcterms:W3CDTF">2024-07-18T16:53:00Z</dcterms:created>
  <dcterms:modified xsi:type="dcterms:W3CDTF">2024-07-25T18:15:00Z</dcterms:modified>
</cp:coreProperties>
</file>